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A90199" w:rsidRDefault="00E07849" w:rsidP="00E07849">
      <w:pPr>
        <w:pStyle w:val="Default"/>
        <w:jc w:val="both"/>
        <w:rPr>
          <w:sz w:val="22"/>
          <w:szCs w:val="22"/>
          <w:lang w:val="es-EC"/>
        </w:rPr>
      </w:pPr>
    </w:p>
    <w:p w:rsidR="00E07849" w:rsidRPr="00A90199" w:rsidRDefault="00E07849" w:rsidP="00E07849">
      <w:pPr>
        <w:pStyle w:val="Default"/>
        <w:jc w:val="both"/>
        <w:rPr>
          <w:sz w:val="22"/>
          <w:szCs w:val="22"/>
          <w:lang w:val="es-EC"/>
        </w:rPr>
      </w:pPr>
    </w:p>
    <w:p w:rsidR="00E07849" w:rsidRPr="00A90199" w:rsidRDefault="00E07849" w:rsidP="00E07849">
      <w:pPr>
        <w:pStyle w:val="Default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GRUPO DE REVISIÓN DE LA IMPLEMENTACIÓN</w:t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  <w:t>OEA/Ser.E</w:t>
      </w:r>
    </w:p>
    <w:p w:rsidR="00E07849" w:rsidRPr="00A90199" w:rsidRDefault="00E07849" w:rsidP="00E07849">
      <w:pPr>
        <w:pStyle w:val="Default"/>
        <w:ind w:right="-126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DE CUMBRES (GRIC)</w:t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  <w:t>GRIC/O.5/</w:t>
      </w:r>
      <w:r w:rsidR="00E43516" w:rsidRPr="00A90199">
        <w:rPr>
          <w:sz w:val="22"/>
          <w:szCs w:val="22"/>
          <w:lang w:val="es-EC"/>
        </w:rPr>
        <w:t>INF</w:t>
      </w:r>
      <w:r w:rsidRPr="00A90199">
        <w:rPr>
          <w:sz w:val="22"/>
          <w:szCs w:val="22"/>
          <w:lang w:val="es-EC"/>
        </w:rPr>
        <w:t>.</w:t>
      </w:r>
      <w:r w:rsidR="00A90199" w:rsidRPr="00A90199">
        <w:rPr>
          <w:sz w:val="22"/>
          <w:szCs w:val="22"/>
          <w:lang w:val="es-EC"/>
        </w:rPr>
        <w:t>10</w:t>
      </w:r>
      <w:r w:rsidRPr="00A90199">
        <w:rPr>
          <w:sz w:val="22"/>
          <w:szCs w:val="22"/>
          <w:lang w:val="es-EC"/>
        </w:rPr>
        <w:t>/18</w:t>
      </w:r>
    </w:p>
    <w:p w:rsidR="00E07849" w:rsidRPr="00A90199" w:rsidRDefault="00E07849" w:rsidP="00E07849">
      <w:pPr>
        <w:pStyle w:val="Default"/>
        <w:ind w:right="-36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Quinta Reunión Ordinaria de 2018</w:t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Pr="00A90199">
        <w:rPr>
          <w:sz w:val="22"/>
          <w:szCs w:val="22"/>
          <w:lang w:val="es-EC"/>
        </w:rPr>
        <w:tab/>
      </w:r>
      <w:r w:rsidR="009C0F6C" w:rsidRPr="00A90199">
        <w:rPr>
          <w:sz w:val="22"/>
          <w:szCs w:val="22"/>
          <w:lang w:val="es-EC"/>
        </w:rPr>
        <w:t>1</w:t>
      </w:r>
      <w:r w:rsidR="00A90199" w:rsidRPr="00A90199">
        <w:rPr>
          <w:sz w:val="22"/>
          <w:szCs w:val="22"/>
          <w:lang w:val="es-EC"/>
        </w:rPr>
        <w:t>2</w:t>
      </w:r>
      <w:r w:rsidRPr="00A90199">
        <w:rPr>
          <w:sz w:val="22"/>
          <w:szCs w:val="22"/>
          <w:lang w:val="es-EC"/>
        </w:rPr>
        <w:t xml:space="preserve"> septiembre 2018</w:t>
      </w:r>
    </w:p>
    <w:p w:rsidR="00E07849" w:rsidRPr="00A90199" w:rsidRDefault="00E07849" w:rsidP="00E07849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4 de septiembre de 2018</w:t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</w:r>
      <w:r w:rsidRPr="00A90199">
        <w:rPr>
          <w:color w:val="auto"/>
          <w:sz w:val="22"/>
          <w:szCs w:val="22"/>
          <w:lang w:val="es-EC"/>
        </w:rPr>
        <w:tab/>
        <w:t xml:space="preserve">Original: español </w:t>
      </w:r>
    </w:p>
    <w:p w:rsidR="00E07849" w:rsidRPr="00A90199" w:rsidRDefault="00E07849" w:rsidP="00E07849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A90199">
        <w:rPr>
          <w:color w:val="auto"/>
          <w:sz w:val="22"/>
          <w:szCs w:val="22"/>
          <w:lang w:val="es-EC"/>
        </w:rPr>
        <w:t>Washington D.C.</w:t>
      </w:r>
      <w:r w:rsidRPr="00A90199">
        <w:rPr>
          <w:sz w:val="22"/>
          <w:szCs w:val="22"/>
          <w:lang w:val="es-EC"/>
        </w:rPr>
        <w:t xml:space="preserve"> </w:t>
      </w:r>
      <w:r w:rsidRPr="00A90199">
        <w:rPr>
          <w:color w:val="auto"/>
          <w:sz w:val="22"/>
          <w:szCs w:val="22"/>
          <w:lang w:val="es-EC"/>
        </w:rPr>
        <w:tab/>
      </w:r>
    </w:p>
    <w:p w:rsidR="00E07849" w:rsidRPr="00A90199" w:rsidRDefault="00E07849" w:rsidP="00E07849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E07849" w:rsidRPr="00A90199" w:rsidRDefault="00E07849" w:rsidP="00E07849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E07849" w:rsidRPr="00A90199" w:rsidRDefault="00E07849" w:rsidP="00E07849">
      <w:pPr>
        <w:pStyle w:val="Default"/>
        <w:jc w:val="center"/>
        <w:rPr>
          <w:caps/>
          <w:sz w:val="22"/>
          <w:szCs w:val="22"/>
          <w:lang w:val="es-EC"/>
        </w:rPr>
      </w:pPr>
      <w:r w:rsidRPr="00A90199">
        <w:rPr>
          <w:caps/>
          <w:sz w:val="22"/>
          <w:szCs w:val="22"/>
          <w:lang w:val="es-EC"/>
        </w:rPr>
        <w:t xml:space="preserve">Presentación </w:t>
      </w:r>
      <w:r w:rsidR="00845E80" w:rsidRPr="00A90199">
        <w:rPr>
          <w:caps/>
          <w:sz w:val="22"/>
          <w:szCs w:val="22"/>
          <w:lang w:val="es-EC"/>
        </w:rPr>
        <w:t xml:space="preserve">de la </w:t>
      </w:r>
      <w:r w:rsidR="00AA470C" w:rsidRPr="00A90199">
        <w:rPr>
          <w:caps/>
          <w:sz w:val="22"/>
          <w:szCs w:val="22"/>
          <w:lang w:val="es-EC"/>
        </w:rPr>
        <w:t>Organización Internacional del Trabajo</w:t>
      </w:r>
      <w:r w:rsidRPr="00A90199">
        <w:rPr>
          <w:caps/>
          <w:sz w:val="22"/>
          <w:szCs w:val="22"/>
          <w:lang w:val="es-EC"/>
        </w:rPr>
        <w:t xml:space="preserve"> </w:t>
      </w:r>
    </w:p>
    <w:p w:rsidR="00C6778F" w:rsidRPr="00A90199" w:rsidRDefault="00C6778F" w:rsidP="00E07849">
      <w:pPr>
        <w:pStyle w:val="Default"/>
        <w:jc w:val="center"/>
        <w:rPr>
          <w:caps/>
          <w:sz w:val="22"/>
          <w:szCs w:val="22"/>
          <w:lang w:val="es-EC"/>
        </w:rPr>
      </w:pPr>
    </w:p>
    <w:p w:rsidR="00C6778F" w:rsidRPr="00A90199" w:rsidRDefault="00C6778F" w:rsidP="00C6778F">
      <w:pPr>
        <w:pStyle w:val="Default"/>
        <w:tabs>
          <w:tab w:val="left" w:pos="2880"/>
          <w:tab w:val="left" w:pos="3870"/>
        </w:tabs>
        <w:jc w:val="center"/>
        <w:rPr>
          <w:caps/>
          <w:sz w:val="22"/>
          <w:szCs w:val="22"/>
          <w:lang w:val="es-US"/>
        </w:rPr>
      </w:pPr>
      <w:r w:rsidRPr="00A90199">
        <w:rPr>
          <w:caps/>
          <w:sz w:val="22"/>
          <w:szCs w:val="22"/>
          <w:lang w:val="es-US"/>
        </w:rPr>
        <w:t xml:space="preserve">Oferta institucional para la implementación </w:t>
      </w:r>
      <w:r w:rsidRPr="00A90199">
        <w:rPr>
          <w:caps/>
          <w:sz w:val="22"/>
          <w:szCs w:val="22"/>
          <w:lang w:val="es-US"/>
        </w:rPr>
        <w:br/>
        <w:t>del Compromiso de Lima</w:t>
      </w:r>
    </w:p>
    <w:p w:rsidR="00845E80" w:rsidRPr="00A90199" w:rsidRDefault="00845E80" w:rsidP="00E07849">
      <w:pPr>
        <w:pStyle w:val="Default"/>
        <w:jc w:val="center"/>
        <w:rPr>
          <w:sz w:val="22"/>
          <w:szCs w:val="22"/>
          <w:lang w:val="es-US"/>
        </w:rPr>
      </w:pPr>
    </w:p>
    <w:p w:rsidR="00845E80" w:rsidRPr="00A90199" w:rsidRDefault="00845E80" w:rsidP="00E07849">
      <w:pPr>
        <w:pStyle w:val="Default"/>
        <w:jc w:val="center"/>
        <w:rPr>
          <w:b/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 xml:space="preserve">(Por </w:t>
      </w:r>
      <w:r w:rsidR="00AA470C" w:rsidRPr="00A90199">
        <w:rPr>
          <w:sz w:val="22"/>
          <w:szCs w:val="22"/>
          <w:lang w:val="es-EC"/>
        </w:rPr>
        <w:t>José Manuel Salazar Xirinachs, Director Regional para las Américas</w:t>
      </w:r>
      <w:r w:rsidRPr="00A90199">
        <w:rPr>
          <w:sz w:val="22"/>
          <w:szCs w:val="22"/>
          <w:lang w:val="es-EC"/>
        </w:rPr>
        <w:t>)</w:t>
      </w:r>
    </w:p>
    <w:p w:rsidR="00E07849" w:rsidRPr="00A90199" w:rsidRDefault="00E07849" w:rsidP="00E07849">
      <w:pPr>
        <w:jc w:val="both"/>
        <w:rPr>
          <w:sz w:val="22"/>
          <w:szCs w:val="22"/>
          <w:lang w:val="es-EC"/>
        </w:rPr>
      </w:pPr>
    </w:p>
    <w:p w:rsidR="00C52F94" w:rsidRPr="00A90199" w:rsidRDefault="00C52F94" w:rsidP="00AA470C">
      <w:pPr>
        <w:jc w:val="both"/>
        <w:rPr>
          <w:sz w:val="22"/>
          <w:szCs w:val="22"/>
          <w:lang w:val="es-EC"/>
        </w:rPr>
      </w:pPr>
    </w:p>
    <w:p w:rsidR="00AA470C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 xml:space="preserve">En nombre de la OIT inicio esta intervención </w:t>
      </w:r>
      <w:r w:rsidR="00AA470C" w:rsidRPr="00A90199">
        <w:rPr>
          <w:sz w:val="22"/>
          <w:szCs w:val="22"/>
          <w:lang w:val="es-EC"/>
        </w:rPr>
        <w:t xml:space="preserve">felicitando a todos los Estados </w:t>
      </w:r>
      <w:r w:rsidRPr="00A90199">
        <w:rPr>
          <w:sz w:val="22"/>
          <w:szCs w:val="22"/>
          <w:lang w:val="es-EC"/>
        </w:rPr>
        <w:t>miembros de la OEA por el Compromiso de Lima “Gobernabilidad Democrática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frente a la Corrupción”.</w:t>
      </w:r>
      <w:r w:rsidR="00AA470C" w:rsidRPr="00A90199">
        <w:rPr>
          <w:sz w:val="22"/>
          <w:szCs w:val="22"/>
          <w:lang w:val="es-EC"/>
        </w:rPr>
        <w:t xml:space="preserve"> 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OIT comparte plenamente el diagnóstico básico del Compromiso de Lima de que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“la corrupción debilita la gobernabilidad democrática, la confianza de la ciudadanía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en las instituciones y tiene un impacto negativo en el goce efectivo de los derechos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humanos y el desarrollo sostenible.”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Aunque no hay un capítulo explícito en el Compromiso de Lima que directamente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aborde los temas de los mercados y derechos laborales, y los retos de gobernanza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corrupción alrededor de éstos, sí hay varias áreas y puntos del Compromiso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Lima que directa o indirectamente se relacionan con el trabajo de la OIT y sus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mandatos y en los que la OIT puede contribuir con la implementación del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Compromiso de Lima.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Voy primero a comentar sobre las principales áreas de vinculación, y luego 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describir brevemente nuestra oferta institucional en cada una de ellas.</w:t>
      </w:r>
      <w:r w:rsidR="00AA470C" w:rsidRPr="00A90199">
        <w:rPr>
          <w:sz w:val="22"/>
          <w:szCs w:val="22"/>
          <w:lang w:val="es-EC"/>
        </w:rPr>
        <w:t xml:space="preserve"> 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I. Vinculaciones entre mandato y trabajo de la OIT y el Compromiso de</w:t>
      </w:r>
      <w:r w:rsidR="00AA470C" w:rsidRPr="00A90199">
        <w:rPr>
          <w:b/>
          <w:sz w:val="22"/>
          <w:szCs w:val="22"/>
          <w:lang w:val="es-EC"/>
        </w:rPr>
        <w:t xml:space="preserve"> </w:t>
      </w:r>
      <w:r w:rsidRPr="00A90199">
        <w:rPr>
          <w:b/>
          <w:sz w:val="22"/>
          <w:szCs w:val="22"/>
          <w:lang w:val="es-EC"/>
        </w:rPr>
        <w:t>Lima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primera área de vinculación tiene que ver con el fortalecimiento de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gobernabilidad democrática. La OIT fue creada en 1919 precisamente para mejorar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las buenas relaciones entre el capital y el trabajo, y promover la buena gobernanza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del mundo del trabajo. Y como organismo tripartito, el método de trabajo por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excelencia de la OIT es el diálogo social y los mecanismos para institucionalizarlo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fortalecerlo, como elemento central de una gobernanza democrática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participativa.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Una segunda área de vinculación es el pleno respeto a las normas internacionales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del trabajo, que aunque no se mencionan explícitamente en el Compromiso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Lima, son una parte esencial de los derechos humanos, objetivo que sí es explícita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reiteradamente mencionado. Las normas internacionales del trabajo, se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negocian precisamente en el seno de la OIT, y apoyar a los Estados Miembros en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su cumplimiento, mediante información, capacitación y asistencia técnica, y vía los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mecanismos de supervisión, es uno de los mandatos y funciones centrales de la</w:t>
      </w:r>
      <w:r w:rsid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Organización.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 xml:space="preserve">Una </w:t>
      </w:r>
      <w:r w:rsidR="00CF331D" w:rsidRPr="00A90199">
        <w:rPr>
          <w:sz w:val="22"/>
          <w:szCs w:val="22"/>
          <w:lang w:val="es-EC"/>
        </w:rPr>
        <w:t>tercera</w:t>
      </w:r>
      <w:r w:rsidRPr="00A90199">
        <w:rPr>
          <w:sz w:val="22"/>
          <w:szCs w:val="22"/>
          <w:lang w:val="es-EC"/>
        </w:rPr>
        <w:t xml:space="preserve"> área es el objetivo de OIT de eliminar la discriminación en materia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empleo y ocupación, y la promoción de mercados laborales inclusivos en los que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nadie se quede atrás. Esto incluye el foco en algunos grupos específicos. Por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ejemplo, las mujeres, en términos de promover la igualdad de género y su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empoderamiento. También el foco en grupos vulnerables, como aquellos afectados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por la pobreza, o los trabajadores informales, y los grupos indígenas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afrodescendientes. En 1989 la OIT negoció el Convenio sobre Pueblos Indígenas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Tribales, 169 (1989) y de 23 ratificaciones en el mundo hoy día, 15 son de países en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las Américas. La corrupción es un fenómeno altamente corrosivo del respeto a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derechos humanos y laborales de estos grupos, de su efectiva inclusión en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mercados laborales y en los procesos de consulta estipulados en el Convenio 169.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manera que hay en este campo un amplio traslape entre el Compromiso de Lima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el trabajo de la OIT en el contexto del Convenio 169.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Una cuarta área de vinculación es la informalidad laboral. Aunque no mencionada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explícitamente en el Compromiso de Lima, es un fenómeno que influye y a la vez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es </w:t>
      </w:r>
      <w:r w:rsidR="00CF331D" w:rsidRPr="00A90199">
        <w:rPr>
          <w:sz w:val="22"/>
          <w:szCs w:val="22"/>
          <w:lang w:val="es-EC"/>
        </w:rPr>
        <w:t>influido</w:t>
      </w:r>
      <w:r w:rsidRPr="00A90199">
        <w:rPr>
          <w:sz w:val="22"/>
          <w:szCs w:val="22"/>
          <w:lang w:val="es-EC"/>
        </w:rPr>
        <w:t xml:space="preserve"> por la incidencia de corrupción. La informalidad tiene causas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estructurales profundas, pero también causas regulatorias y de fallas en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fiscalización y la inspección del trabajo. El fortalecimiento de la inspección del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trabajo es una de las áreas fuertes del trabajo de OIT incluyendo mediante el uso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la revolución digital. La Declaración de Lima menciona el gobierno digital y,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aunque no hace mención explícita a la inspección del trabajo, es claro que esta 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un área importante para reducir la corrupción en los sistemas de administración 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inspección laboral.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Quinto, la justicia laboral pronta y cumplida es una parte esencial de los sistemas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judiciales y una en la que desafortunadamente son también frecuentes las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debilidades en las capacidades institucionales, y caracterizada por instancias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corrupción que afectan tanto a trabajadores como a empresas, en particular a las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PYMEs. Este tema está implícito en el punto 2 del Compromiso referido a fortalecer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 autonomía e independencia de los sistemas judiciales, con el objetivo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promover el Estado de Derecho y el acceso a la Justicia.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Y sexto, siendo la OIT una Organización Tripartita, tenemos toda una serie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programas de capacitación con Organizaciones Sindicales y con Organizaciones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Empleadores que tocan todo el rango de temas relacionados con los derechos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humanos y laborales, el diálogo social, la promoción del empleo y la protección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social.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II. Oferta institucional en seguimiento al compromiso de Lima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A la luz de este panorama general me voy a referir ahora a nuestra oferta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institucional en cinco áreas: Diálogo Social; respeto a las NITs; inspección del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trabajo; justicia laboral; y códigos de conducta y responsabilidad social del sector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empresarial.</w:t>
      </w:r>
    </w:p>
    <w:p w:rsidR="00AA470C" w:rsidRPr="00A90199" w:rsidRDefault="00AA470C" w:rsidP="00AA470C">
      <w:pPr>
        <w:jc w:val="both"/>
        <w:rPr>
          <w:b/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1. Diálogo Social y fortalecimiento de Organizaciones de Trabajadores y de</w:t>
      </w:r>
      <w:r w:rsidR="00AA470C" w:rsidRPr="00A90199">
        <w:rPr>
          <w:b/>
          <w:sz w:val="22"/>
          <w:szCs w:val="22"/>
          <w:lang w:val="es-EC"/>
        </w:rPr>
        <w:t xml:space="preserve"> </w:t>
      </w:r>
      <w:r w:rsidR="00CF331D" w:rsidRPr="00A90199">
        <w:rPr>
          <w:b/>
          <w:sz w:val="22"/>
          <w:szCs w:val="22"/>
          <w:lang w:val="es-EC"/>
        </w:rPr>
        <w:t>empleadores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OIT tiene una variedad de instrumentos para promover el diálogo social.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Convenios núm. 87 (1948) y núm 98 (1949) sobre los derechos de libertad </w:t>
      </w:r>
      <w:r w:rsidR="00CF331D" w:rsidRPr="00A90199">
        <w:rPr>
          <w:sz w:val="22"/>
          <w:szCs w:val="22"/>
          <w:lang w:val="es-EC"/>
        </w:rPr>
        <w:t>sindical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de negociación colectiva, incorporados en las legislaciones nacionales de muchos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países, son la base para tener organizaciones de trabajadores y empleadores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autónomas e independientes. El Convenio 151 (1978) hizo extensivo estos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derechos a los empleados de la administración pública. La OIT tiene manuales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sobre estos temas, estudios de caso, una oferta de actividades de capacitación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sobre su institucionalización y </w:t>
      </w:r>
      <w:r w:rsidRPr="00A90199">
        <w:rPr>
          <w:sz w:val="22"/>
          <w:szCs w:val="22"/>
          <w:lang w:val="es-EC"/>
        </w:rPr>
        <w:lastRenderedPageBreak/>
        <w:t>buenas prácticas, todo lo cual es central para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gobernabilidad democrática y el Estado de Derecho. Además se da asistencia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técnica para la creación y funcionamiento de instituciones tripartitas a nivel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nacional y regional, para mejorar la representatividad e incorporar unidades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económicas y trabajadores de la economía informal.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2. Respeto a las NITs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cuanto a respeto a las NITs, esta es una región con una alta tasa de ratificación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Convenios de la OIT, pero que sin embargo enfrenta importantes retos en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materia de aplicación en una amplia gama de temas, que van desde la libertad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asociación, hasta la protección social y la informalidad.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1998 los Estados Miembros de la OIT adoptaron la Declaración sobre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Principios y Derechos Fundamentales en el que trabajo, que cubre cuatro derechos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laborales fundamentales:</w:t>
      </w:r>
    </w:p>
    <w:p w:rsidR="00CF331D" w:rsidRPr="00A90199" w:rsidRDefault="00CF331D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CF331D">
      <w:pPr>
        <w:ind w:left="45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• Libertad de asociación y negociación colectiva</w:t>
      </w:r>
    </w:p>
    <w:p w:rsidR="00267013" w:rsidRPr="00A90199" w:rsidRDefault="00267013" w:rsidP="00CF331D">
      <w:pPr>
        <w:ind w:left="45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• Eliminación de todas las formas de trabajo forzoso u obligatorio</w:t>
      </w:r>
    </w:p>
    <w:p w:rsidR="00267013" w:rsidRPr="00A90199" w:rsidRDefault="00267013" w:rsidP="00CF331D">
      <w:pPr>
        <w:ind w:left="45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• Eliminación efectiva del trabajo infantil, y</w:t>
      </w:r>
    </w:p>
    <w:p w:rsidR="00267013" w:rsidRPr="00A90199" w:rsidRDefault="00267013" w:rsidP="00CF331D">
      <w:pPr>
        <w:ind w:left="450"/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• Eliminación de la discriminación en materia de empleo y ocupación.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libertad de asociación es el derecho de las Organizaciones de Empleadores y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las Organizaciones de Trabajadores, a ser autónomas e independientes, y a </w:t>
      </w:r>
      <w:r w:rsidR="00AA470C" w:rsidRPr="00A90199">
        <w:rPr>
          <w:sz w:val="22"/>
          <w:szCs w:val="22"/>
          <w:lang w:val="es-EC"/>
        </w:rPr>
        <w:t xml:space="preserve">decidir </w:t>
      </w:r>
      <w:r w:rsidRPr="00A90199">
        <w:rPr>
          <w:sz w:val="22"/>
          <w:szCs w:val="22"/>
          <w:lang w:val="es-EC"/>
        </w:rPr>
        <w:t>por sí mismas a sus propios representantes mediante mecanismos transparentes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claros. El respeto a la libertad de asociación y negociación colectiva, para lo cual se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requieren Organizaciones de Empleadores y de Trabajadores fuertes, y con altas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competencias técnicas, operativas y políticas, son elementos esenciales de una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sociedad democrática, libre de corrupción y con buen funcionamiento del Estado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Derecho, tal como también aspira el Compromiso de Lima.</w:t>
      </w: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3. Inspección del trabajo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CF331D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</w:t>
      </w:r>
      <w:r w:rsidR="00267013" w:rsidRPr="00A90199">
        <w:rPr>
          <w:sz w:val="22"/>
          <w:szCs w:val="22"/>
          <w:lang w:val="es-EC"/>
        </w:rPr>
        <w:t xml:space="preserve"> inspección del trabajo es una institución clave para hacer cumplir las normas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del trabajo y el armonioso funcionamiento de las relaciones laborales. Sin embargo,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con frecuencia la inspección es débil y en algunos países está penetrada por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instancias de corrupción que reducen su efectividad. La OIT brinda una amplia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oferta de asistencia técnica en este tema.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Por ejemplo, en 2016 la OIT apoyo a Honduras en un proceso que llevó a que en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febrero de 2017 se aprobara la nueva Ley de Inspección de Trabajo, que unifica la</w:t>
      </w:r>
      <w:r w:rsidR="00AA470C" w:rsidRPr="00A90199">
        <w:rPr>
          <w:sz w:val="22"/>
          <w:szCs w:val="22"/>
          <w:lang w:val="es-EC"/>
        </w:rPr>
        <w:t xml:space="preserve">  </w:t>
      </w:r>
      <w:r w:rsidRPr="00A90199">
        <w:rPr>
          <w:sz w:val="22"/>
          <w:szCs w:val="22"/>
          <w:lang w:val="es-EC"/>
        </w:rPr>
        <w:t>inspección de trabajo y de seguridad y salud, y establece un nuevo procedimiento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más simple y rápido.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el mismo año se apoyó en Guatemala el proceso tripartito que llevó en 2017 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 reforma al Código de Trabajo que modifica la estructura, funciones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procedimiento de inspección y establece la capacidad sancionadora </w:t>
      </w:r>
      <w:r w:rsidR="00CF331D" w:rsidRPr="00A90199">
        <w:rPr>
          <w:sz w:val="22"/>
          <w:szCs w:val="22"/>
          <w:lang w:val="es-EC"/>
        </w:rPr>
        <w:t>administrativa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del Ministerio de Trabajo y Previsión Social, y se implementó un ciclo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capacitación sobre aplicación de la nueva ley y de su correspondiente Protocolo en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todo el país.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Una de las áreas más prometedoras para hacer más eficiente la inspección laboral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reducir la corrupción es el uso de las TIC. Como reconoce el Compromiso de Lima,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el Gobierno electrónico es un instrumento fundamental para la mejora de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eficiencia, la transparencia en la gestión pública y la promoción de la participación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ciudadana.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 xml:space="preserve">Las </w:t>
      </w:r>
      <w:r w:rsidR="00CF331D" w:rsidRPr="00A90199">
        <w:rPr>
          <w:sz w:val="22"/>
          <w:szCs w:val="22"/>
          <w:lang w:val="es-EC"/>
        </w:rPr>
        <w:t>tablas</w:t>
      </w:r>
      <w:r w:rsidRPr="00A90199">
        <w:rPr>
          <w:sz w:val="22"/>
          <w:szCs w:val="22"/>
          <w:lang w:val="es-EC"/>
        </w:rPr>
        <w:t>, laptops y aplicaciones en dispositivos móviles han hecho nacer al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“inspector digital”, como se le denomina en Argentina, un inspector desprovisto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 xml:space="preserve">papeles y cargado de programas y aplicaciones. La </w:t>
      </w:r>
      <w:r w:rsidR="00CF331D" w:rsidRPr="00A90199">
        <w:rPr>
          <w:sz w:val="22"/>
          <w:szCs w:val="22"/>
          <w:lang w:val="es-EC"/>
        </w:rPr>
        <w:t>introducción</w:t>
      </w:r>
      <w:r w:rsidRPr="00A90199">
        <w:rPr>
          <w:sz w:val="22"/>
          <w:szCs w:val="22"/>
          <w:lang w:val="es-EC"/>
        </w:rPr>
        <w:t xml:space="preserve"> del uso de nuevas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tecnologías ha incluido también el uso de drones y bodycams, la notificación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electrónica de las actas y la introducción, con apoyo de la OIT, de la metodología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“scoring” para mejorar la detección del empleo no registrado en las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inspecciones, a partir de una experiencia piloto en la provincia de Santa Fe.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Perú, el Sistema Informático de la Inspección de Trabajo (SIIT) tiene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interconexión con el servicio de consultas del Documento Nacional de Identidad,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haciendo uso de la Plataforma de Interoperabilidad del Estado (PIDE).</w:t>
      </w:r>
      <w:r w:rsidR="00AA470C" w:rsidRPr="00A90199">
        <w:rPr>
          <w:sz w:val="22"/>
          <w:szCs w:val="22"/>
          <w:lang w:val="es-EC"/>
        </w:rPr>
        <w:t xml:space="preserve"> 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Uruguay, se creó la Planilla de Trabajo Unificada, a partir de la unificación de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anteriores registros de la Planilla de Control de Trabajo del MTSS y el Sistema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Registros del Banco de Previsión Social (BPS) integrado por el Registro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Contribuyentes, la Gestión de Afiliados y la Recaudación Nominada. La Planilla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Trabajo Unificada cuenta con datos de todos los trabajadores, de las condiciones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su relación de trabajo y de todas las empresas del país.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En Colombia, con financiamiento del USDOL, la OIT llevó a cabo un proyecto de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apoyo al Ministerio de Trabajo para digitalizar el sistema de inspección y reportes,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que ayudó mucho a reducir la corrupción y a traer transparencia en la inspección.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El proyecto desarrollo tres componentes: (1) un sistema de gestión de información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basado en un software que automatizó los registros y procedimientos, que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promueve la transparencia y facilita la rendición de cuentas. (2) un programa para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 formación de los inspectores de trabajo que capacitó a todos los funcionarios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que intervienen en las investigaciones de la Dirección de Inspección, y que permite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 implementación de criterios homogéneos para la aplicación de la ley, evitando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así la interpretación discrecional por parte de los funcionarios. Y (3) la elaboración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una Guía para identificar las ocasiones en las que una relación laboral se disfraza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o suplanta por otra de distinta naturaleza, incumpliendo con ello las obligaciones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ley, como la seguridad social, entre otras.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4. Justicia laboral y resolución de conflictos en el ámbito laboral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Justicia laboral en varios países es lenta y presenta dificultades en el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cumplimiento de las sentencias. Este problema, ha sido agudizado por los cambios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en el mundo del trabajo, y ha llevado a esfuerzos para modernizar los mecanismos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justicia laboral y de resolución de conflictos. Los cambios han estado dirigidos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 agilizar y simplificar los procedimientos, a introducir la oralidad en los juicios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laborales y la reforma de la legislación procesal laboral para acortar plazos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simplificar procesos, como ha sido el caso en Honduras, Costa Rica, y Nicaragua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entre otros ejemplos. La OIT ha apoyado estos procesos.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Por ejemplo, en el caso de la Reforma Procesal laboral de Costa Rica, que entró en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vigor el 25 de julio del 2017, la OIT brindo asistencia técnica durante todo el proceso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y facilitó la realización de consultas tripartitas, apoyando entre otras cosas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elaboración de tres reglamentos, en relación con los servicios de conciliación y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arbitraje, con la votación para la adopción del acuerdo de huelga, y la elaboración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estudios de membresía sindical.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C6778F" w:rsidRPr="00A90199" w:rsidRDefault="00C6778F" w:rsidP="00AA470C">
      <w:pPr>
        <w:jc w:val="both"/>
        <w:rPr>
          <w:sz w:val="22"/>
          <w:szCs w:val="22"/>
          <w:lang w:val="es-EC"/>
        </w:rPr>
      </w:pPr>
    </w:p>
    <w:p w:rsidR="00C6778F" w:rsidRPr="00A90199" w:rsidRDefault="00C6778F" w:rsidP="00AA470C">
      <w:pPr>
        <w:jc w:val="both"/>
        <w:rPr>
          <w:sz w:val="22"/>
          <w:szCs w:val="22"/>
          <w:lang w:val="es-EC"/>
        </w:rPr>
      </w:pPr>
    </w:p>
    <w:p w:rsidR="00C6778F" w:rsidRPr="00A90199" w:rsidRDefault="00C6778F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5. Códigos de conducta y responsabilidad social de las empresas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La OIT apoya a las organizaciones empresariales para que incorporen en sus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estrategias empresariales los Principios Rectores sobre las empresas y los derechos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humanos: y la puesta en práctica del marco de las Naciones Unidas para “proteger,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respetar y remediar”, uno de los cuales es el combate a la corrupción. En estos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momentos se está finalizando el diseño de un programa financiado por la Unión</w:t>
      </w: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Europea para ser implementado por la OIT, OCDE y La Oficina del Alto Comisionado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las Naciones Unidas para los Derechos Humanos, sobre Empresas y Derechos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humanos cuyo objetivo es precisamente apoyar la implementación de esos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principios y sus planes de acción nacionales.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8220BF" w:rsidP="00AA470C">
      <w:pPr>
        <w:jc w:val="both"/>
        <w:rPr>
          <w:sz w:val="22"/>
          <w:szCs w:val="22"/>
          <w:lang w:val="es-EC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73" w:rsidRPr="00494C73" w:rsidRDefault="00494C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cmbrs01691s01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C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HPugs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:rsidR="00494C73" w:rsidRPr="00494C73" w:rsidRDefault="00494C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cmbrs01691s01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67013" w:rsidRPr="00A90199">
        <w:rPr>
          <w:sz w:val="22"/>
          <w:szCs w:val="22"/>
          <w:lang w:val="es-EC"/>
        </w:rPr>
        <w:t>Chile, Colombia y EEUU son los tres países de las Américas que han desarrollado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Planes Nacionales de Derechos Humanos y Empresas (NAPS) y otros tres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(Argentina, México y Perú) están desarrollándolos en estos momentos. En todos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estos planes se incluyen medidas específicas para prevenir y combatir la corrupción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y promover los derechos humanos. Por ejemplo, en Colombia se incluyen medidas</w:t>
      </w:r>
      <w:r w:rsidR="00AA470C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relacionadas con las compras públicas (por ejemplo, solicitando la inclusión de</w:t>
      </w:r>
      <w:r w:rsidR="00CF331D" w:rsidRPr="00A90199">
        <w:rPr>
          <w:sz w:val="22"/>
          <w:szCs w:val="22"/>
          <w:lang w:val="es-EC"/>
        </w:rPr>
        <w:t xml:space="preserve"> </w:t>
      </w:r>
      <w:r w:rsidR="00267013" w:rsidRPr="00A90199">
        <w:rPr>
          <w:sz w:val="22"/>
          <w:szCs w:val="22"/>
          <w:lang w:val="es-EC"/>
        </w:rPr>
        <w:t>mecanismos de debida diligencia e</w:t>
      </w:r>
      <w:r w:rsidR="00AA470C" w:rsidRPr="00A90199">
        <w:rPr>
          <w:sz w:val="22"/>
          <w:szCs w:val="22"/>
          <w:lang w:val="es-EC"/>
        </w:rPr>
        <w:t>n sus procesos de contratación.</w:t>
      </w:r>
      <w:r w:rsidR="00AA470C" w:rsidRPr="00A90199">
        <w:rPr>
          <w:rStyle w:val="FootnoteReference"/>
          <w:sz w:val="22"/>
          <w:szCs w:val="22"/>
          <w:lang w:val="es-EC"/>
        </w:rPr>
        <w:footnoteReference w:id="1"/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b/>
          <w:sz w:val="22"/>
          <w:szCs w:val="22"/>
          <w:lang w:val="es-EC"/>
        </w:rPr>
      </w:pPr>
      <w:r w:rsidRPr="00A90199">
        <w:rPr>
          <w:b/>
          <w:sz w:val="22"/>
          <w:szCs w:val="22"/>
          <w:lang w:val="es-EC"/>
        </w:rPr>
        <w:t>III. Oferta institucional a cumbres anteriores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267013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Para concluir, me gustaría señalar que la Oficina tiene una amplia oferta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institucional que ha venido poniendo al servicio del seguimiento de cumbres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anteriores como la de Panamá. Las tres áreas prioritarias para el trabajo de la OIT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en la región son: 1) políticas de desarrollo productivo (PDP) para un crecimiento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inclusivo con más y mejores empleos; 2) tránsito de la economía informal a la</w:t>
      </w:r>
      <w:r w:rsidR="00CF331D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economía formal; y 3) respeto y aplicación de las normas internacionales y de la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legislación del trabajo. Otros temas clave son: 4) promoción del empleo juvenil y 5)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políticas de migración laboral.</w:t>
      </w:r>
    </w:p>
    <w:p w:rsidR="00AA470C" w:rsidRPr="00A90199" w:rsidRDefault="00AA470C" w:rsidP="00AA470C">
      <w:pPr>
        <w:jc w:val="both"/>
        <w:rPr>
          <w:sz w:val="22"/>
          <w:szCs w:val="22"/>
          <w:lang w:val="es-EC"/>
        </w:rPr>
      </w:pPr>
    </w:p>
    <w:p w:rsidR="00E07849" w:rsidRPr="00A90199" w:rsidRDefault="00267013" w:rsidP="00AA470C">
      <w:pPr>
        <w:jc w:val="both"/>
        <w:rPr>
          <w:sz w:val="22"/>
          <w:szCs w:val="22"/>
          <w:lang w:val="es-EC"/>
        </w:rPr>
      </w:pPr>
      <w:r w:rsidRPr="00A90199">
        <w:rPr>
          <w:sz w:val="22"/>
          <w:szCs w:val="22"/>
          <w:lang w:val="es-EC"/>
        </w:rPr>
        <w:t>Estas áreas de trabajo se alinean con la consecución de los mandatos para la acción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de la Declaración de Panamá y constituyen un ambicioso plan de trabajo que será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revisado en la 19ª Reunión Regional Americana que tendrá lugar en Panamá los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días 2 a 5 de Octubre próximos y que se enfocará en el tema del Futuro del Trabajo</w:t>
      </w:r>
      <w:r w:rsidR="00AA470C" w:rsidRPr="00A90199">
        <w:rPr>
          <w:sz w:val="22"/>
          <w:szCs w:val="22"/>
          <w:lang w:val="es-EC"/>
        </w:rPr>
        <w:t xml:space="preserve"> </w:t>
      </w:r>
      <w:r w:rsidRPr="00A90199">
        <w:rPr>
          <w:sz w:val="22"/>
          <w:szCs w:val="22"/>
          <w:lang w:val="es-EC"/>
        </w:rPr>
        <w:t>en las Américas.</w:t>
      </w:r>
    </w:p>
    <w:sectPr w:rsidR="00E07849" w:rsidRPr="00A90199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49" w:rsidRDefault="00E07849" w:rsidP="00E07849">
      <w:r>
        <w:separator/>
      </w:r>
    </w:p>
  </w:endnote>
  <w:endnote w:type="continuationSeparator" w:id="0">
    <w:p w:rsidR="00E07849" w:rsidRDefault="00E07849" w:rsidP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49" w:rsidRDefault="00E07849" w:rsidP="00E07849">
      <w:r>
        <w:separator/>
      </w:r>
    </w:p>
  </w:footnote>
  <w:footnote w:type="continuationSeparator" w:id="0">
    <w:p w:rsidR="00E07849" w:rsidRDefault="00E07849" w:rsidP="00E07849">
      <w:r>
        <w:continuationSeparator/>
      </w:r>
    </w:p>
  </w:footnote>
  <w:footnote w:id="1">
    <w:p w:rsidR="00AA470C" w:rsidRPr="00C6778F" w:rsidRDefault="00AA470C" w:rsidP="00AA470C">
      <w:pPr>
        <w:rPr>
          <w:sz w:val="20"/>
          <w:szCs w:val="20"/>
          <w:lang w:val="es-US"/>
        </w:rPr>
      </w:pPr>
      <w:r w:rsidRPr="00AA470C">
        <w:rPr>
          <w:rStyle w:val="FootnoteReference"/>
          <w:sz w:val="20"/>
          <w:szCs w:val="20"/>
        </w:rPr>
        <w:footnoteRef/>
      </w:r>
      <w:r w:rsidRPr="00C6778F">
        <w:rPr>
          <w:sz w:val="20"/>
          <w:szCs w:val="20"/>
          <w:lang w:val="es-US"/>
        </w:rPr>
        <w:t xml:space="preserve"> Ver NAP Colombia: https://globalnaps.org/wp-content/uploads/2017/11/colombia-napespanol.</w:t>
      </w:r>
    </w:p>
    <w:p w:rsidR="00AA470C" w:rsidRPr="00AA470C" w:rsidRDefault="00AA470C" w:rsidP="00AA470C">
      <w:pPr>
        <w:rPr>
          <w:sz w:val="20"/>
          <w:szCs w:val="20"/>
        </w:rPr>
      </w:pPr>
      <w:r w:rsidRPr="00AA470C">
        <w:rPr>
          <w:sz w:val="20"/>
          <w:szCs w:val="20"/>
        </w:rPr>
        <w:t>pdf); NAP Chile: https://globalnaps.org/wp-content/uploads/2017/11/chile-napespanol.</w:t>
      </w:r>
    </w:p>
    <w:p w:rsidR="00AA470C" w:rsidRPr="00AA470C" w:rsidRDefault="00AA470C" w:rsidP="00AA470C">
      <w:pPr>
        <w:rPr>
          <w:sz w:val="20"/>
          <w:szCs w:val="20"/>
        </w:rPr>
      </w:pPr>
      <w:r w:rsidRPr="00AA470C">
        <w:rPr>
          <w:sz w:val="20"/>
          <w:szCs w:val="20"/>
        </w:rPr>
        <w:t>pdf); NAP USA: https://globalnaps.org/country/usa/</w:t>
      </w:r>
    </w:p>
    <w:p w:rsidR="00AA470C" w:rsidRDefault="00AA470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E07849" w:rsidP="00E07849">
    <w:pPr>
      <w:pStyle w:val="Header"/>
      <w:ind w:left="720"/>
      <w:jc w:val="center"/>
      <w:rPr>
        <w:sz w:val="22"/>
        <w:szCs w:val="22"/>
      </w:rPr>
    </w:pPr>
    <w:r w:rsidRPr="00E07849">
      <w:rPr>
        <w:sz w:val="22"/>
        <w:szCs w:val="22"/>
      </w:rPr>
      <w:t>-</w:t>
    </w:r>
    <w:r w:rsidRPr="00E07849">
      <w:rPr>
        <w:sz w:val="22"/>
        <w:szCs w:val="22"/>
      </w:rPr>
      <w:fldChar w:fldCharType="begin"/>
    </w:r>
    <w:r w:rsidRPr="00E07849">
      <w:rPr>
        <w:sz w:val="22"/>
        <w:szCs w:val="22"/>
      </w:rPr>
      <w:instrText xml:space="preserve"> PAGE   \* MERGEFORMAT </w:instrText>
    </w:r>
    <w:r w:rsidRPr="00E07849">
      <w:rPr>
        <w:sz w:val="22"/>
        <w:szCs w:val="22"/>
      </w:rPr>
      <w:fldChar w:fldCharType="separate"/>
    </w:r>
    <w:r w:rsidR="008220BF">
      <w:rPr>
        <w:noProof/>
        <w:sz w:val="22"/>
        <w:szCs w:val="22"/>
      </w:rPr>
      <w:t>5</w:t>
    </w:r>
    <w:r w:rsidRPr="00E07849">
      <w:rPr>
        <w:noProof/>
        <w:sz w:val="22"/>
        <w:szCs w:val="22"/>
      </w:rPr>
      <w:fldChar w:fldCharType="end"/>
    </w:r>
    <w:r w:rsidRPr="00E07849">
      <w:rPr>
        <w:noProof/>
        <w:sz w:val="22"/>
        <w:szCs w:val="22"/>
      </w:rPr>
      <w:t xml:space="preserve">- 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8220BF">
    <w:pPr>
      <w:pStyle w:val="Header"/>
    </w:pPr>
    <w:r w:rsidRPr="00F971CD">
      <w:rPr>
        <w:noProof/>
        <w:sz w:val="22"/>
        <w:szCs w:val="22"/>
      </w:rPr>
      <w:drawing>
        <wp:inline distT="0" distB="0" distL="0" distR="0">
          <wp:extent cx="5689600" cy="1061085"/>
          <wp:effectExtent l="0" t="0" r="6350" b="5715"/>
          <wp:docPr id="1" name="Picture 3" descr="es_v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_v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52F85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585"/>
    <w:multiLevelType w:val="hybridMultilevel"/>
    <w:tmpl w:val="7ABE62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2D32"/>
    <w:multiLevelType w:val="hybridMultilevel"/>
    <w:tmpl w:val="41EC8E24"/>
    <w:lvl w:ilvl="0" w:tplc="20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AAA07FC"/>
    <w:multiLevelType w:val="hybridMultilevel"/>
    <w:tmpl w:val="0396D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267013"/>
    <w:rsid w:val="00391A8F"/>
    <w:rsid w:val="00494C73"/>
    <w:rsid w:val="008220BF"/>
    <w:rsid w:val="00837E5F"/>
    <w:rsid w:val="00845E80"/>
    <w:rsid w:val="008D1406"/>
    <w:rsid w:val="008F24F9"/>
    <w:rsid w:val="009C0F6C"/>
    <w:rsid w:val="00A74C22"/>
    <w:rsid w:val="00A90199"/>
    <w:rsid w:val="00AA470C"/>
    <w:rsid w:val="00C52F94"/>
    <w:rsid w:val="00C62993"/>
    <w:rsid w:val="00C6778F"/>
    <w:rsid w:val="00CF331D"/>
    <w:rsid w:val="00E07849"/>
    <w:rsid w:val="00E43516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DFD0EDC-FAF1-438E-BB4F-E6EAA4C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78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2F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VE"/>
    </w:rPr>
  </w:style>
  <w:style w:type="paragraph" w:styleId="FootnoteText">
    <w:name w:val="footnote text"/>
    <w:basedOn w:val="Normal"/>
    <w:link w:val="FootnoteTextChar"/>
    <w:rsid w:val="00AA4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470C"/>
  </w:style>
  <w:style w:type="character" w:styleId="FootnoteReference">
    <w:name w:val="footnote reference"/>
    <w:rsid w:val="00AA4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4C8-233C-45F1-BF06-8ADC195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dc:description/>
  <cp:lastModifiedBy>Silva, Ana</cp:lastModifiedBy>
  <cp:revision>2</cp:revision>
  <dcterms:created xsi:type="dcterms:W3CDTF">2018-09-12T20:34:00Z</dcterms:created>
  <dcterms:modified xsi:type="dcterms:W3CDTF">2018-09-12T20:34:00Z</dcterms:modified>
</cp:coreProperties>
</file>